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08E" w:rsidRPr="00CE2AE8" w:rsidRDefault="00CA308E" w:rsidP="00DF60D9">
      <w:pPr>
        <w:rPr>
          <w:rFonts w:ascii="Times New Roman" w:hAnsi="Times New Roman" w:cs="Times New Roman"/>
        </w:rPr>
      </w:pPr>
    </w:p>
    <w:p w:rsidR="00CA308E" w:rsidRPr="00CE2AE8" w:rsidRDefault="00CA308E" w:rsidP="00CA308E">
      <w:pPr>
        <w:widowControl w:val="0"/>
        <w:autoSpaceDE w:val="0"/>
        <w:autoSpaceDN w:val="0"/>
        <w:adjustRightInd w:val="0"/>
        <w:spacing w:after="0" w:line="288" w:lineRule="auto"/>
        <w:ind w:right="120"/>
        <w:jc w:val="center"/>
        <w:textAlignment w:val="center"/>
        <w:rPr>
          <w:rFonts w:ascii="Times New Roman" w:hAnsi="Times New Roman" w:cs="Times New Roman"/>
          <w:color w:val="000000"/>
        </w:rPr>
      </w:pPr>
      <w:r w:rsidRPr="00CE2AE8">
        <w:rPr>
          <w:rFonts w:ascii="Times New Roman" w:hAnsi="Times New Roman" w:cs="Times New Roman"/>
          <w:b/>
          <w:bCs/>
          <w:color w:val="000000"/>
        </w:rPr>
        <w:t>FOREWORD</w:t>
      </w:r>
    </w:p>
    <w:p w:rsidR="00CA308E" w:rsidRPr="00CE2AE8" w:rsidRDefault="00CA308E" w:rsidP="00CA308E">
      <w:pPr>
        <w:widowControl w:val="0"/>
        <w:autoSpaceDE w:val="0"/>
        <w:autoSpaceDN w:val="0"/>
        <w:adjustRightInd w:val="0"/>
        <w:spacing w:after="0" w:line="288" w:lineRule="auto"/>
        <w:ind w:right="120"/>
        <w:textAlignment w:val="center"/>
        <w:rPr>
          <w:rFonts w:ascii="Times New Roman" w:hAnsi="Times New Roman" w:cs="Times New Roman"/>
          <w:color w:val="000000"/>
        </w:rPr>
      </w:pP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color w:val="000000"/>
        </w:rPr>
        <w:t>God acts at the end of set, established times</w:t>
      </w:r>
      <w:r w:rsidR="00CE2AE8" w:rsidRPr="00CE2AE8">
        <w:rPr>
          <w:rFonts w:ascii="Times New Roman" w:hAnsi="Times New Roman" w:cs="Times New Roman"/>
          <w:color w:val="000000"/>
        </w:rPr>
        <w:t>; and</w:t>
      </w:r>
      <w:r w:rsidRPr="00CE2AE8">
        <w:rPr>
          <w:rFonts w:ascii="Times New Roman" w:hAnsi="Times New Roman" w:cs="Times New Roman"/>
          <w:color w:val="000000"/>
        </w:rPr>
        <w:t xml:space="preserve"> this book has to do with these times, particularly with a final time referred to throughout the Prophets as “in that day.”  And “that day” is the time toward which everything in Scripture ultimately moves</w:t>
      </w:r>
      <w:proofErr w:type="gramStart"/>
      <w:r w:rsidRPr="00CE2AE8">
        <w:rPr>
          <w:rFonts w:ascii="Times New Roman" w:hAnsi="Times New Roman" w:cs="Times New Roman"/>
          <w:color w:val="000000"/>
        </w:rPr>
        <w:t>,</w:t>
      </w:r>
      <w:proofErr w:type="gramEnd"/>
      <w:r w:rsidRPr="00CE2AE8">
        <w:rPr>
          <w:rFonts w:ascii="Times New Roman" w:hAnsi="Times New Roman" w:cs="Times New Roman"/>
          <w:color w:val="000000"/>
        </w:rPr>
        <w:t xml:space="preserve"> beginning in the opening thirty-four verses of Genesis.</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color w:val="000000"/>
        </w:rPr>
        <w:t>Taking one through the Scriptures in this respect is what this book is about — moving from a past day through the present day to a coming day, referred to as “that day.”</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color w:val="000000"/>
        </w:rPr>
        <w:t>Note Amos 9:11-15, relating that ultimately awaiting the Jewish people in this respect:</w:t>
      </w:r>
    </w:p>
    <w:p w:rsidR="00CA308E" w:rsidRPr="00CE2AE8" w:rsidRDefault="00CA308E" w:rsidP="00CA308E">
      <w:pPr>
        <w:widowControl w:val="0"/>
        <w:autoSpaceDE w:val="0"/>
        <w:autoSpaceDN w:val="0"/>
        <w:adjustRightInd w:val="0"/>
        <w:spacing w:before="200" w:after="0" w:line="288" w:lineRule="auto"/>
        <w:ind w:left="240" w:right="240" w:firstLine="360"/>
        <w:jc w:val="both"/>
        <w:textAlignment w:val="center"/>
        <w:rPr>
          <w:rFonts w:ascii="Times New Roman" w:hAnsi="Times New Roman" w:cs="Times New Roman"/>
          <w:color w:val="000000"/>
        </w:rPr>
      </w:pPr>
      <w:r w:rsidRPr="00CE2AE8">
        <w:rPr>
          <w:rFonts w:ascii="Times New Roman" w:hAnsi="Times New Roman" w:cs="Times New Roman"/>
          <w:color w:val="000000"/>
        </w:rPr>
        <w:t>“In that day I will raise up the tabernacle of David that is fallen, and close up the breaches thereof</w:t>
      </w:r>
      <w:proofErr w:type="gramStart"/>
      <w:r w:rsidRPr="00CE2AE8">
        <w:rPr>
          <w:rFonts w:ascii="Times New Roman" w:hAnsi="Times New Roman" w:cs="Times New Roman"/>
          <w:color w:val="000000"/>
        </w:rPr>
        <w:t>;  and</w:t>
      </w:r>
      <w:proofErr w:type="gramEnd"/>
      <w:r w:rsidRPr="00CE2AE8">
        <w:rPr>
          <w:rFonts w:ascii="Times New Roman" w:hAnsi="Times New Roman" w:cs="Times New Roman"/>
          <w:color w:val="000000"/>
        </w:rPr>
        <w:t xml:space="preserve"> I will raise up his ruins, and I will build it as in the days of old.</w:t>
      </w:r>
    </w:p>
    <w:p w:rsidR="00CA308E" w:rsidRPr="00CE2AE8" w:rsidRDefault="00CA308E" w:rsidP="00CA308E">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CE2AE8">
        <w:rPr>
          <w:rFonts w:ascii="Times New Roman" w:hAnsi="Times New Roman" w:cs="Times New Roman"/>
          <w:color w:val="000000"/>
        </w:rPr>
        <w:t xml:space="preserve">That they may possess the remnant of Edom, and of all the heathen, which are called by my name, </w:t>
      </w:r>
      <w:proofErr w:type="spellStart"/>
      <w:r w:rsidRPr="00CE2AE8">
        <w:rPr>
          <w:rFonts w:ascii="Times New Roman" w:hAnsi="Times New Roman" w:cs="Times New Roman"/>
          <w:color w:val="000000"/>
        </w:rPr>
        <w:t>saith</w:t>
      </w:r>
      <w:proofErr w:type="spellEnd"/>
      <w:r w:rsidRPr="00CE2AE8">
        <w:rPr>
          <w:rFonts w:ascii="Times New Roman" w:hAnsi="Times New Roman" w:cs="Times New Roman"/>
          <w:color w:val="000000"/>
        </w:rPr>
        <w:t xml:space="preserve"> the Lord that doeth this.</w:t>
      </w:r>
    </w:p>
    <w:p w:rsidR="00CA308E" w:rsidRPr="00CE2AE8" w:rsidRDefault="00CA308E" w:rsidP="00CA308E">
      <w:pPr>
        <w:widowControl w:val="0"/>
        <w:autoSpaceDE w:val="0"/>
        <w:autoSpaceDN w:val="0"/>
        <w:adjustRightInd w:val="0"/>
        <w:spacing w:after="0" w:line="288" w:lineRule="auto"/>
        <w:ind w:left="240" w:right="240" w:firstLine="360"/>
        <w:jc w:val="both"/>
        <w:textAlignment w:val="center"/>
        <w:rPr>
          <w:rFonts w:ascii="Times New Roman" w:hAnsi="Times New Roman" w:cs="Times New Roman"/>
          <w:color w:val="000000"/>
        </w:rPr>
      </w:pPr>
      <w:r w:rsidRPr="00CE2AE8">
        <w:rPr>
          <w:rFonts w:ascii="Times New Roman" w:hAnsi="Times New Roman" w:cs="Times New Roman"/>
          <w:color w:val="000000"/>
        </w:rPr>
        <w:t xml:space="preserve">Behold, the days come, </w:t>
      </w:r>
      <w:proofErr w:type="spellStart"/>
      <w:r w:rsidRPr="00CE2AE8">
        <w:rPr>
          <w:rFonts w:ascii="Times New Roman" w:hAnsi="Times New Roman" w:cs="Times New Roman"/>
          <w:color w:val="000000"/>
        </w:rPr>
        <w:t>saith</w:t>
      </w:r>
      <w:proofErr w:type="spellEnd"/>
      <w:r w:rsidRPr="00CE2AE8">
        <w:rPr>
          <w:rFonts w:ascii="Times New Roman" w:hAnsi="Times New Roman" w:cs="Times New Roman"/>
          <w:color w:val="000000"/>
        </w:rPr>
        <w:t xml:space="preserve"> the Lord, that the plowman shall overtake the </w:t>
      </w:r>
      <w:proofErr w:type="gramStart"/>
      <w:r w:rsidRPr="00CE2AE8">
        <w:rPr>
          <w:rFonts w:ascii="Times New Roman" w:hAnsi="Times New Roman" w:cs="Times New Roman"/>
          <w:color w:val="000000"/>
        </w:rPr>
        <w:t>reaper,</w:t>
      </w:r>
      <w:proofErr w:type="gramEnd"/>
      <w:r w:rsidRPr="00CE2AE8">
        <w:rPr>
          <w:rFonts w:ascii="Times New Roman" w:hAnsi="Times New Roman" w:cs="Times New Roman"/>
          <w:color w:val="000000"/>
        </w:rPr>
        <w:t xml:space="preserve"> and the </w:t>
      </w:r>
      <w:proofErr w:type="spellStart"/>
      <w:r w:rsidRPr="00CE2AE8">
        <w:rPr>
          <w:rFonts w:ascii="Times New Roman" w:hAnsi="Times New Roman" w:cs="Times New Roman"/>
          <w:color w:val="000000"/>
        </w:rPr>
        <w:t>treader</w:t>
      </w:r>
      <w:proofErr w:type="spellEnd"/>
      <w:r w:rsidRPr="00CE2AE8">
        <w:rPr>
          <w:rFonts w:ascii="Times New Roman" w:hAnsi="Times New Roman" w:cs="Times New Roman"/>
          <w:color w:val="000000"/>
        </w:rPr>
        <w:t xml:space="preserve"> of grapes him that </w:t>
      </w:r>
      <w:proofErr w:type="spellStart"/>
      <w:r w:rsidRPr="00CE2AE8">
        <w:rPr>
          <w:rFonts w:ascii="Times New Roman" w:hAnsi="Times New Roman" w:cs="Times New Roman"/>
          <w:color w:val="000000"/>
        </w:rPr>
        <w:t>soweth</w:t>
      </w:r>
      <w:proofErr w:type="spellEnd"/>
      <w:r w:rsidRPr="00CE2AE8">
        <w:rPr>
          <w:rFonts w:ascii="Times New Roman" w:hAnsi="Times New Roman" w:cs="Times New Roman"/>
          <w:color w:val="000000"/>
        </w:rPr>
        <w:t xml:space="preserve"> seed, and the mountains shall drop sweet wine, and all the hills shall melt.</w:t>
      </w:r>
    </w:p>
    <w:p w:rsidR="00CA308E" w:rsidRPr="00CE2AE8" w:rsidRDefault="00CA308E" w:rsidP="00CA308E">
      <w:pPr>
        <w:widowControl w:val="0"/>
        <w:autoSpaceDE w:val="0"/>
        <w:autoSpaceDN w:val="0"/>
        <w:adjustRightInd w:val="0"/>
        <w:spacing w:before="20" w:after="20" w:line="288" w:lineRule="auto"/>
        <w:ind w:left="240" w:right="240" w:firstLine="360"/>
        <w:jc w:val="both"/>
        <w:textAlignment w:val="center"/>
        <w:rPr>
          <w:rFonts w:ascii="Times New Roman" w:hAnsi="Times New Roman" w:cs="Times New Roman"/>
          <w:color w:val="000000"/>
        </w:rPr>
      </w:pPr>
      <w:r w:rsidRPr="00CE2AE8">
        <w:rPr>
          <w:rFonts w:ascii="Times New Roman" w:hAnsi="Times New Roman" w:cs="Times New Roman"/>
          <w:color w:val="000000"/>
        </w:rPr>
        <w:t>And I will bring again the captivity of my people of Israel, and they shall build the waste cities, and shall inhabit them</w:t>
      </w:r>
      <w:proofErr w:type="gramStart"/>
      <w:r w:rsidRPr="00CE2AE8">
        <w:rPr>
          <w:rFonts w:ascii="Times New Roman" w:hAnsi="Times New Roman" w:cs="Times New Roman"/>
          <w:color w:val="000000"/>
        </w:rPr>
        <w:t>;  and</w:t>
      </w:r>
      <w:proofErr w:type="gramEnd"/>
      <w:r w:rsidRPr="00CE2AE8">
        <w:rPr>
          <w:rFonts w:ascii="Times New Roman" w:hAnsi="Times New Roman" w:cs="Times New Roman"/>
          <w:color w:val="000000"/>
        </w:rPr>
        <w:t xml:space="preserve"> they shall plant vineyards, and drink the wine thereof;  they shall also make gardens, and eat the fruit of them.</w:t>
      </w:r>
    </w:p>
    <w:p w:rsidR="00CA308E" w:rsidRPr="00CE2AE8" w:rsidRDefault="00CA308E" w:rsidP="00CA308E">
      <w:pPr>
        <w:widowControl w:val="0"/>
        <w:autoSpaceDE w:val="0"/>
        <w:autoSpaceDN w:val="0"/>
        <w:adjustRightInd w:val="0"/>
        <w:spacing w:line="288" w:lineRule="auto"/>
        <w:ind w:left="240" w:right="240" w:firstLine="360"/>
        <w:jc w:val="both"/>
        <w:textAlignment w:val="center"/>
        <w:rPr>
          <w:rFonts w:ascii="Times New Roman" w:hAnsi="Times New Roman" w:cs="Times New Roman"/>
          <w:color w:val="000000"/>
        </w:rPr>
      </w:pPr>
      <w:r w:rsidRPr="00CE2AE8">
        <w:rPr>
          <w:rFonts w:ascii="Times New Roman" w:hAnsi="Times New Roman" w:cs="Times New Roman"/>
          <w:color w:val="000000"/>
        </w:rPr>
        <w:t xml:space="preserve">And I will plant them upon their land, and they shall no more be pulled up out of their land which I have given them, </w:t>
      </w:r>
      <w:proofErr w:type="spellStart"/>
      <w:r w:rsidRPr="00CE2AE8">
        <w:rPr>
          <w:rFonts w:ascii="Times New Roman" w:hAnsi="Times New Roman" w:cs="Times New Roman"/>
          <w:color w:val="000000"/>
        </w:rPr>
        <w:t>saith</w:t>
      </w:r>
      <w:proofErr w:type="spellEnd"/>
      <w:r w:rsidRPr="00CE2AE8">
        <w:rPr>
          <w:rFonts w:ascii="Times New Roman" w:hAnsi="Times New Roman" w:cs="Times New Roman"/>
          <w:color w:val="000000"/>
        </w:rPr>
        <w:t xml:space="preserve"> the Lord God.”</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color w:val="000000"/>
        </w:rPr>
        <w:t xml:space="preserve">The expression, “in that day” (Amos 9:11), is used numerous times throughout both the major and </w:t>
      </w:r>
      <w:proofErr w:type="gramStart"/>
      <w:r w:rsidRPr="00CE2AE8">
        <w:rPr>
          <w:rFonts w:ascii="Times New Roman" w:hAnsi="Times New Roman" w:cs="Times New Roman"/>
          <w:color w:val="000000"/>
        </w:rPr>
        <w:t>minor</w:t>
      </w:r>
      <w:proofErr w:type="gramEnd"/>
      <w:r w:rsidRPr="00CE2AE8">
        <w:rPr>
          <w:rFonts w:ascii="Times New Roman" w:hAnsi="Times New Roman" w:cs="Times New Roman"/>
          <w:color w:val="000000"/>
        </w:rPr>
        <w:t xml:space="preserve"> Prophets.  And, it would go without saying, “</w:t>
      </w:r>
      <w:proofErr w:type="gramStart"/>
      <w:r w:rsidRPr="00CE2AE8">
        <w:rPr>
          <w:rFonts w:ascii="Times New Roman" w:hAnsi="Times New Roman" w:cs="Times New Roman"/>
          <w:color w:val="000000"/>
        </w:rPr>
        <w:t>that</w:t>
      </w:r>
      <w:proofErr w:type="gramEnd"/>
      <w:r w:rsidRPr="00CE2AE8">
        <w:rPr>
          <w:rFonts w:ascii="Times New Roman" w:hAnsi="Times New Roman" w:cs="Times New Roman"/>
          <w:color w:val="000000"/>
        </w:rPr>
        <w:t xml:space="preserve"> day” could only reference </w:t>
      </w:r>
      <w:r w:rsidRPr="00CE2AE8">
        <w:rPr>
          <w:rFonts w:ascii="Times New Roman" w:hAnsi="Times New Roman" w:cs="Times New Roman"/>
          <w:i/>
          <w:iCs/>
          <w:color w:val="000000"/>
        </w:rPr>
        <w:t>a future day set in contrast to the day in which the Prophet wrote and used this expression.</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color w:val="000000"/>
        </w:rPr>
        <w:t xml:space="preserve">But what future day, or possibly what different future days, did the prophets have in mind through the use of this expression?  And that, of course, is </w:t>
      </w:r>
      <w:r w:rsidRPr="00CE2AE8">
        <w:rPr>
          <w:rFonts w:ascii="Times New Roman" w:hAnsi="Times New Roman" w:cs="Times New Roman"/>
          <w:i/>
          <w:iCs/>
          <w:color w:val="000000"/>
        </w:rPr>
        <w:t>ALWAYS</w:t>
      </w:r>
      <w:r w:rsidRPr="00CE2AE8">
        <w:rPr>
          <w:rFonts w:ascii="Times New Roman" w:hAnsi="Times New Roman" w:cs="Times New Roman"/>
          <w:color w:val="000000"/>
        </w:rPr>
        <w:t xml:space="preserve"> to be determined by the context each time that the expression is used.</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color w:val="000000"/>
        </w:rPr>
        <w:t xml:space="preserve">However, observing the context each time, one will find, more often than not, </w:t>
      </w:r>
      <w:r w:rsidRPr="00CE2AE8">
        <w:rPr>
          <w:rFonts w:ascii="Times New Roman" w:hAnsi="Times New Roman" w:cs="Times New Roman"/>
          <w:i/>
          <w:iCs/>
          <w:color w:val="000000"/>
        </w:rPr>
        <w:t>a particular, singular usage.</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CE2AE8">
        <w:rPr>
          <w:rFonts w:ascii="Times New Roman" w:hAnsi="Times New Roman" w:cs="Times New Roman"/>
          <w:color w:val="000000"/>
        </w:rPr>
        <w:t xml:space="preserve">In this respect, one will find that this expression is usually seen peculiarly related to </w:t>
      </w:r>
      <w:r w:rsidRPr="00CE2AE8">
        <w:rPr>
          <w:rFonts w:ascii="Times New Roman" w:hAnsi="Times New Roman" w:cs="Times New Roman"/>
          <w:i/>
          <w:iCs/>
          <w:color w:val="000000"/>
        </w:rPr>
        <w:t>ONLY</w:t>
      </w:r>
      <w:r w:rsidRPr="00CE2AE8">
        <w:rPr>
          <w:rFonts w:ascii="Times New Roman" w:hAnsi="Times New Roman" w:cs="Times New Roman"/>
          <w:color w:val="000000"/>
        </w:rPr>
        <w:t xml:space="preserve"> </w:t>
      </w:r>
      <w:r w:rsidRPr="00CE2AE8">
        <w:rPr>
          <w:rFonts w:ascii="Times New Roman" w:hAnsi="Times New Roman" w:cs="Times New Roman"/>
          <w:i/>
          <w:iCs/>
          <w:color w:val="000000"/>
        </w:rPr>
        <w:t xml:space="preserve">ONE THING AND ONE TIME, </w:t>
      </w:r>
      <w:r w:rsidRPr="00CE2AE8">
        <w:rPr>
          <w:rFonts w:ascii="Times New Roman" w:hAnsi="Times New Roman" w:cs="Times New Roman"/>
          <w:color w:val="000000"/>
        </w:rPr>
        <w:t xml:space="preserve">not many different things and times.  The Prophets, continually, used this expression to reference events pertaining to Israel and the nations </w:t>
      </w:r>
      <w:r w:rsidRPr="00CE2AE8">
        <w:rPr>
          <w:rFonts w:ascii="Times New Roman" w:hAnsi="Times New Roman" w:cs="Times New Roman"/>
          <w:i/>
          <w:iCs/>
          <w:color w:val="000000"/>
        </w:rPr>
        <w:t>beyond Man’s 6,000-year Day, at the beginning of and during the Lord’s 1,000-</w:t>
      </w:r>
      <w:r w:rsidRPr="00CE2AE8">
        <w:rPr>
          <w:rFonts w:ascii="Times New Roman" w:hAnsi="Times New Roman" w:cs="Times New Roman"/>
          <w:i/>
          <w:iCs/>
          <w:color w:val="000000"/>
        </w:rPr>
        <w:lastRenderedPageBreak/>
        <w:t>year Day.</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color w:val="000000"/>
        </w:rPr>
        <w:t>And this can easily be shown numerous places in the Prophets, beginning with Isaiah, where this expression appears far more times than in any other book.</w:t>
      </w:r>
    </w:p>
    <w:p w:rsidR="00CA308E" w:rsidRPr="00CE2AE8" w:rsidRDefault="00CA308E" w:rsidP="00CA308E">
      <w:pPr>
        <w:widowControl w:val="0"/>
        <w:autoSpaceDE w:val="0"/>
        <w:autoSpaceDN w:val="0"/>
        <w:adjustRightInd w:val="0"/>
        <w:spacing w:before="360" w:line="288" w:lineRule="auto"/>
        <w:jc w:val="center"/>
        <w:textAlignment w:val="center"/>
        <w:rPr>
          <w:rFonts w:ascii="Times New Roman" w:hAnsi="Times New Roman" w:cs="Times New Roman"/>
          <w:color w:val="000000"/>
        </w:rPr>
      </w:pPr>
      <w:r w:rsidRPr="00CE2AE8">
        <w:rPr>
          <w:rFonts w:ascii="Times New Roman" w:hAnsi="Times New Roman" w:cs="Times New Roman"/>
          <w:b/>
          <w:bCs/>
          <w:color w:val="000000"/>
        </w:rPr>
        <w:t xml:space="preserve">Man’s Day, </w:t>
      </w:r>
      <w:proofErr w:type="gramStart"/>
      <w:r w:rsidRPr="00CE2AE8">
        <w:rPr>
          <w:rFonts w:ascii="Times New Roman" w:hAnsi="Times New Roman" w:cs="Times New Roman"/>
          <w:b/>
          <w:bCs/>
          <w:color w:val="000000"/>
        </w:rPr>
        <w:t>The</w:t>
      </w:r>
      <w:proofErr w:type="gramEnd"/>
      <w:r w:rsidRPr="00CE2AE8">
        <w:rPr>
          <w:rFonts w:ascii="Times New Roman" w:hAnsi="Times New Roman" w:cs="Times New Roman"/>
          <w:b/>
          <w:bCs/>
          <w:color w:val="000000"/>
        </w:rPr>
        <w:t xml:space="preserve"> Lord’s Day</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color w:val="000000"/>
        </w:rPr>
        <w:t xml:space="preserve">Certain distinctions between Man’s Day and the Lord’s Day (the Day of the Lord) need to be established to properly understand what </w:t>
      </w:r>
      <w:r w:rsidRPr="00CE2AE8">
        <w:rPr>
          <w:rFonts w:ascii="Times New Roman" w:hAnsi="Times New Roman" w:cs="Times New Roman"/>
          <w:i/>
          <w:iCs/>
          <w:color w:val="000000"/>
        </w:rPr>
        <w:t>day and/or time</w:t>
      </w:r>
      <w:r w:rsidRPr="00CE2AE8">
        <w:rPr>
          <w:rFonts w:ascii="Times New Roman" w:hAnsi="Times New Roman" w:cs="Times New Roman"/>
          <w:color w:val="000000"/>
        </w:rPr>
        <w:t xml:space="preserve"> is being referenced by the expression, “in that day.”  And one of the best ways to do this is to deal with </w:t>
      </w:r>
      <w:r w:rsidRPr="00CE2AE8">
        <w:rPr>
          <w:rFonts w:ascii="Times New Roman" w:hAnsi="Times New Roman" w:cs="Times New Roman"/>
          <w:i/>
          <w:iCs/>
          <w:color w:val="000000"/>
        </w:rPr>
        <w:t xml:space="preserve">the </w:t>
      </w:r>
      <w:proofErr w:type="spellStart"/>
      <w:r w:rsidRPr="00CE2AE8">
        <w:rPr>
          <w:rFonts w:ascii="Times New Roman" w:hAnsi="Times New Roman" w:cs="Times New Roman"/>
          <w:i/>
          <w:iCs/>
          <w:color w:val="000000"/>
        </w:rPr>
        <w:t>septenary</w:t>
      </w:r>
      <w:proofErr w:type="spellEnd"/>
      <w:r w:rsidRPr="00CE2AE8">
        <w:rPr>
          <w:rFonts w:ascii="Times New Roman" w:hAnsi="Times New Roman" w:cs="Times New Roman"/>
          <w:i/>
          <w:iCs/>
          <w:color w:val="000000"/>
        </w:rPr>
        <w:t xml:space="preserve"> structure of Scripture.</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color w:val="000000"/>
        </w:rPr>
        <w:t xml:space="preserve">God has an affinity for </w:t>
      </w:r>
      <w:r w:rsidRPr="00CE2AE8">
        <w:rPr>
          <w:rFonts w:ascii="Times New Roman" w:hAnsi="Times New Roman" w:cs="Times New Roman"/>
          <w:i/>
          <w:iCs/>
          <w:color w:val="000000"/>
        </w:rPr>
        <w:t>numbers</w:t>
      </w:r>
      <w:r w:rsidRPr="00CE2AE8">
        <w:rPr>
          <w:rFonts w:ascii="Times New Roman" w:hAnsi="Times New Roman" w:cs="Times New Roman"/>
          <w:color w:val="000000"/>
        </w:rPr>
        <w:t xml:space="preserve">, and He established and set forth a </w:t>
      </w:r>
      <w:proofErr w:type="spellStart"/>
      <w:r w:rsidRPr="00CE2AE8">
        <w:rPr>
          <w:rFonts w:ascii="Times New Roman" w:hAnsi="Times New Roman" w:cs="Times New Roman"/>
          <w:color w:val="000000"/>
        </w:rPr>
        <w:t>septenary</w:t>
      </w:r>
      <w:proofErr w:type="spellEnd"/>
      <w:r w:rsidRPr="00CE2AE8">
        <w:rPr>
          <w:rFonts w:ascii="Times New Roman" w:hAnsi="Times New Roman" w:cs="Times New Roman"/>
          <w:color w:val="000000"/>
        </w:rPr>
        <w:t xml:space="preserve"> structure for His Word at the beginning — in the first thirty-four verses of Genesis (1:1-2:3).</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color w:val="000000"/>
        </w:rPr>
        <w:t xml:space="preserve">Accordingly, this </w:t>
      </w:r>
      <w:proofErr w:type="spellStart"/>
      <w:r w:rsidRPr="00CE2AE8">
        <w:rPr>
          <w:rFonts w:ascii="Times New Roman" w:hAnsi="Times New Roman" w:cs="Times New Roman"/>
          <w:color w:val="000000"/>
        </w:rPr>
        <w:t>septenary</w:t>
      </w:r>
      <w:proofErr w:type="spellEnd"/>
      <w:r w:rsidRPr="00CE2AE8">
        <w:rPr>
          <w:rFonts w:ascii="Times New Roman" w:hAnsi="Times New Roman" w:cs="Times New Roman"/>
          <w:color w:val="000000"/>
        </w:rPr>
        <w:t xml:space="preserve"> structure forms </w:t>
      </w:r>
      <w:r w:rsidRPr="00CE2AE8">
        <w:rPr>
          <w:rFonts w:ascii="Times New Roman" w:hAnsi="Times New Roman" w:cs="Times New Roman"/>
          <w:i/>
          <w:iCs/>
          <w:color w:val="000000"/>
        </w:rPr>
        <w:t>a foundational base for everything which God revealed from that point forward, throughout all of the Old Testament.</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color w:val="000000"/>
        </w:rPr>
        <w:t xml:space="preserve">And the New Testament, in complete conformity to the Old Testament, forming commentary on the Old Testament, begins </w:t>
      </w:r>
      <w:r w:rsidRPr="00CE2AE8">
        <w:rPr>
          <w:rFonts w:ascii="Times New Roman" w:hAnsi="Times New Roman" w:cs="Times New Roman"/>
          <w:i/>
          <w:iCs/>
          <w:color w:val="000000"/>
        </w:rPr>
        <w:t>exactly the same way</w:t>
      </w:r>
      <w:r w:rsidRPr="00CE2AE8">
        <w:rPr>
          <w:rFonts w:ascii="Times New Roman" w:hAnsi="Times New Roman" w:cs="Times New Roman"/>
          <w:color w:val="000000"/>
        </w:rPr>
        <w:t xml:space="preserve"> (provided one recognizes that the Gospel of John should begin the New Testament, not Matthew’s gospel).  John’s gospel not only begins the same way Genesis begins, showing a </w:t>
      </w:r>
      <w:proofErr w:type="spellStart"/>
      <w:r w:rsidRPr="00CE2AE8">
        <w:rPr>
          <w:rFonts w:ascii="Times New Roman" w:hAnsi="Times New Roman" w:cs="Times New Roman"/>
          <w:color w:val="000000"/>
        </w:rPr>
        <w:t>septenary</w:t>
      </w:r>
      <w:proofErr w:type="spellEnd"/>
      <w:r w:rsidRPr="00CE2AE8">
        <w:rPr>
          <w:rFonts w:ascii="Times New Roman" w:hAnsi="Times New Roman" w:cs="Times New Roman"/>
          <w:color w:val="000000"/>
        </w:rPr>
        <w:t xml:space="preserve"> structure, but it also parallels Genesis throughout (the types in Genesis paralleling the signs in John).</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color w:val="000000"/>
        </w:rPr>
        <w:t xml:space="preserve">In the preceding respect, the same </w:t>
      </w:r>
      <w:proofErr w:type="spellStart"/>
      <w:r w:rsidRPr="00CE2AE8">
        <w:rPr>
          <w:rFonts w:ascii="Times New Roman" w:hAnsi="Times New Roman" w:cs="Times New Roman"/>
          <w:color w:val="000000"/>
        </w:rPr>
        <w:t>septenary</w:t>
      </w:r>
      <w:proofErr w:type="spellEnd"/>
      <w:r w:rsidRPr="00CE2AE8">
        <w:rPr>
          <w:rFonts w:ascii="Times New Roman" w:hAnsi="Times New Roman" w:cs="Times New Roman"/>
          <w:color w:val="000000"/>
        </w:rPr>
        <w:t xml:space="preserve"> structure opening Genesis (1:1-2:3) is seen opening John (1:1-2:11).</w:t>
      </w:r>
    </w:p>
    <w:p w:rsidR="00CA308E" w:rsidRPr="00CE2AE8" w:rsidRDefault="00CA308E" w:rsidP="00CA308E">
      <w:pPr>
        <w:widowControl w:val="0"/>
        <w:autoSpaceDE w:val="0"/>
        <w:autoSpaceDN w:val="0"/>
        <w:adjustRightInd w:val="0"/>
        <w:spacing w:before="260" w:after="0" w:line="288" w:lineRule="auto"/>
        <w:ind w:left="240" w:right="240" w:firstLine="360"/>
        <w:jc w:val="both"/>
        <w:textAlignment w:val="center"/>
        <w:rPr>
          <w:rFonts w:ascii="Times New Roman" w:hAnsi="Times New Roman" w:cs="Times New Roman"/>
          <w:color w:val="000000"/>
        </w:rPr>
      </w:pPr>
      <w:r w:rsidRPr="00CE2AE8">
        <w:rPr>
          <w:rFonts w:ascii="Times New Roman" w:hAnsi="Times New Roman" w:cs="Times New Roman"/>
          <w:color w:val="000000"/>
        </w:rPr>
        <w:t xml:space="preserve">(For more information on the preceding, refer to the author’s book, </w:t>
      </w:r>
      <w:r w:rsidRPr="00CE2AE8">
        <w:rPr>
          <w:rFonts w:ascii="Times New Roman" w:hAnsi="Times New Roman" w:cs="Times New Roman"/>
          <w:i/>
          <w:iCs/>
          <w:color w:val="000000"/>
        </w:rPr>
        <w:t>Moses and John</w:t>
      </w:r>
      <w:r w:rsidRPr="00CE2AE8">
        <w:rPr>
          <w:rFonts w:ascii="Times New Roman" w:hAnsi="Times New Roman" w:cs="Times New Roman"/>
          <w:color w:val="000000"/>
        </w:rPr>
        <w:t>.)</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color w:val="000000"/>
        </w:rPr>
        <w:t xml:space="preserve">Attention has been called to this </w:t>
      </w:r>
      <w:proofErr w:type="spellStart"/>
      <w:r w:rsidRPr="00CE2AE8">
        <w:rPr>
          <w:rFonts w:ascii="Times New Roman" w:hAnsi="Times New Roman" w:cs="Times New Roman"/>
          <w:color w:val="000000"/>
        </w:rPr>
        <w:t>septenary</w:t>
      </w:r>
      <w:proofErr w:type="spellEnd"/>
      <w:r w:rsidRPr="00CE2AE8">
        <w:rPr>
          <w:rFonts w:ascii="Times New Roman" w:hAnsi="Times New Roman" w:cs="Times New Roman"/>
          <w:color w:val="000000"/>
        </w:rPr>
        <w:t xml:space="preserve"> structure beginning both Testaments in order to show </w:t>
      </w:r>
      <w:r w:rsidRPr="00CE2AE8">
        <w:rPr>
          <w:rFonts w:ascii="Times New Roman" w:hAnsi="Times New Roman" w:cs="Times New Roman"/>
          <w:i/>
          <w:iCs/>
          <w:color w:val="000000"/>
        </w:rPr>
        <w:t>the foundational basis</w:t>
      </w:r>
      <w:r w:rsidRPr="00CE2AE8">
        <w:rPr>
          <w:rFonts w:ascii="Times New Roman" w:hAnsi="Times New Roman" w:cs="Times New Roman"/>
          <w:color w:val="000000"/>
        </w:rPr>
        <w:t xml:space="preserve"> for the length of both Man’s Day and the Lord’s Day.  And this, in turn, as previously alluded to, will form </w:t>
      </w:r>
      <w:r w:rsidRPr="00CE2AE8">
        <w:rPr>
          <w:rFonts w:ascii="Times New Roman" w:hAnsi="Times New Roman" w:cs="Times New Roman"/>
          <w:i/>
          <w:iCs/>
          <w:color w:val="000000"/>
        </w:rPr>
        <w:t xml:space="preserve">a foundational basis </w:t>
      </w:r>
      <w:r w:rsidRPr="00CE2AE8">
        <w:rPr>
          <w:rFonts w:ascii="Times New Roman" w:hAnsi="Times New Roman" w:cs="Times New Roman"/>
          <w:color w:val="000000"/>
        </w:rPr>
        <w:t>to properly understand and deal with the expression, “in that day,” as seen throughout the Prophets.</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color w:val="000000"/>
        </w:rPr>
        <w:t xml:space="preserve">“Six” is </w:t>
      </w:r>
      <w:r w:rsidRPr="00CE2AE8">
        <w:rPr>
          <w:rFonts w:ascii="Times New Roman" w:hAnsi="Times New Roman" w:cs="Times New Roman"/>
          <w:i/>
          <w:iCs/>
          <w:color w:val="000000"/>
        </w:rPr>
        <w:t>man’s number</w:t>
      </w:r>
      <w:r w:rsidRPr="00CE2AE8">
        <w:rPr>
          <w:rFonts w:ascii="Times New Roman" w:hAnsi="Times New Roman" w:cs="Times New Roman"/>
          <w:color w:val="000000"/>
        </w:rPr>
        <w:t xml:space="preserve">, and “seven” is </w:t>
      </w:r>
      <w:r w:rsidRPr="00CE2AE8">
        <w:rPr>
          <w:rFonts w:ascii="Times New Roman" w:hAnsi="Times New Roman" w:cs="Times New Roman"/>
          <w:i/>
          <w:iCs/>
          <w:color w:val="000000"/>
        </w:rPr>
        <w:t>God’s number.</w:t>
      </w:r>
      <w:r w:rsidRPr="00CE2AE8">
        <w:rPr>
          <w:rFonts w:ascii="Times New Roman" w:hAnsi="Times New Roman" w:cs="Times New Roman"/>
          <w:color w:val="000000"/>
        </w:rPr>
        <w:t xml:space="preserve">  Exactly as foreshadowed in the foundational framework in the opening thirty-four verses of Genesis (“six” having to do with events during </w:t>
      </w:r>
      <w:r w:rsidRPr="00CE2AE8">
        <w:rPr>
          <w:rFonts w:ascii="Times New Roman" w:hAnsi="Times New Roman" w:cs="Times New Roman"/>
          <w:i/>
          <w:iCs/>
          <w:color w:val="000000"/>
        </w:rPr>
        <w:t>Man’s Day</w:t>
      </w:r>
      <w:r w:rsidRPr="00CE2AE8">
        <w:rPr>
          <w:rFonts w:ascii="Times New Roman" w:hAnsi="Times New Roman" w:cs="Times New Roman"/>
          <w:color w:val="000000"/>
        </w:rPr>
        <w:t xml:space="preserve">, “seven” having to do with events during </w:t>
      </w:r>
      <w:r w:rsidRPr="00CE2AE8">
        <w:rPr>
          <w:rFonts w:ascii="Times New Roman" w:hAnsi="Times New Roman" w:cs="Times New Roman"/>
          <w:i/>
          <w:iCs/>
          <w:color w:val="000000"/>
        </w:rPr>
        <w:t>the Lord’s Day</w:t>
      </w:r>
      <w:r w:rsidRPr="00CE2AE8">
        <w:rPr>
          <w:rFonts w:ascii="Times New Roman" w:hAnsi="Times New Roman" w:cs="Times New Roman"/>
          <w:color w:val="000000"/>
        </w:rPr>
        <w:t xml:space="preserve">), or the parallel section in John’s gospel (dealing with that foreshadowed in Genesis), God is again taking </w:t>
      </w:r>
      <w:r w:rsidRPr="00CE2AE8">
        <w:rPr>
          <w:rFonts w:ascii="Times New Roman" w:hAnsi="Times New Roman" w:cs="Times New Roman"/>
          <w:i/>
          <w:iCs/>
          <w:color w:val="000000"/>
        </w:rPr>
        <w:t>the same numerical time for the same completed purpose</w:t>
      </w:r>
      <w:r w:rsidRPr="00CE2AE8">
        <w:rPr>
          <w:rFonts w:ascii="Times New Roman" w:hAnsi="Times New Roman" w:cs="Times New Roman"/>
          <w:color w:val="000000"/>
        </w:rPr>
        <w:t xml:space="preserve"> — </w:t>
      </w:r>
      <w:r w:rsidRPr="00CE2AE8">
        <w:rPr>
          <w:rFonts w:ascii="Times New Roman" w:hAnsi="Times New Roman" w:cs="Times New Roman"/>
          <w:i/>
          <w:iCs/>
          <w:color w:val="000000"/>
        </w:rPr>
        <w:t>the restoration of a subsequent ruined creation, ruined man, followed by a day of rest.</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CE2AE8">
        <w:rPr>
          <w:rFonts w:ascii="Times New Roman" w:hAnsi="Times New Roman" w:cs="Times New Roman"/>
          <w:color w:val="000000"/>
        </w:rPr>
        <w:t xml:space="preserve">The ruined creation in Genesis was restored for man over six </w:t>
      </w:r>
      <w:proofErr w:type="gramStart"/>
      <w:r w:rsidRPr="00CE2AE8">
        <w:rPr>
          <w:rFonts w:ascii="Times New Roman" w:hAnsi="Times New Roman" w:cs="Times New Roman"/>
          <w:color w:val="000000"/>
        </w:rPr>
        <w:t>days</w:t>
      </w:r>
      <w:proofErr w:type="gramEnd"/>
      <w:r w:rsidRPr="00CE2AE8">
        <w:rPr>
          <w:rFonts w:ascii="Times New Roman" w:hAnsi="Times New Roman" w:cs="Times New Roman"/>
          <w:color w:val="000000"/>
        </w:rPr>
        <w:t xml:space="preserve"> time (man’s number), with God resting on the seventh day (God’s number).  Then, the preceding </w:t>
      </w:r>
      <w:r w:rsidRPr="00CE2AE8">
        <w:rPr>
          <w:rFonts w:ascii="Times New Roman" w:hAnsi="Times New Roman" w:cs="Times New Roman"/>
          <w:color w:val="000000"/>
        </w:rPr>
        <w:lastRenderedPageBreak/>
        <w:t xml:space="preserve">restoration, set perfect in the beginning, foreshadowed how God would subsequently restore ruined man, a subsequent ruined creation.  And this was/is all carried out through </w:t>
      </w:r>
      <w:r w:rsidRPr="00CE2AE8">
        <w:rPr>
          <w:rFonts w:ascii="Times New Roman" w:hAnsi="Times New Roman" w:cs="Times New Roman"/>
          <w:i/>
          <w:iCs/>
          <w:color w:val="000000"/>
        </w:rPr>
        <w:t>an established, unchangeable pattern concerning how God restores a ruined creation, set forth in this manner at a time preceding man’s creation and ruin.</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color w:val="000000"/>
        </w:rPr>
        <w:t>Then, the opening two chapters of John’s gospel, dealing more specifically with ruined man (</w:t>
      </w:r>
      <w:r w:rsidRPr="00CE2AE8">
        <w:rPr>
          <w:rFonts w:ascii="Times New Roman" w:hAnsi="Times New Roman" w:cs="Times New Roman"/>
          <w:i/>
          <w:iCs/>
          <w:color w:val="000000"/>
        </w:rPr>
        <w:t>e.g.</w:t>
      </w:r>
      <w:r w:rsidRPr="00CE2AE8">
        <w:rPr>
          <w:rFonts w:ascii="Times New Roman" w:hAnsi="Times New Roman" w:cs="Times New Roman"/>
          <w:color w:val="000000"/>
        </w:rPr>
        <w:t xml:space="preserve">, John 1:29, 36), cover </w:t>
      </w:r>
      <w:r w:rsidRPr="00CE2AE8">
        <w:rPr>
          <w:rFonts w:ascii="Times New Roman" w:hAnsi="Times New Roman" w:cs="Times New Roman"/>
          <w:i/>
          <w:iCs/>
          <w:color w:val="000000"/>
        </w:rPr>
        <w:t xml:space="preserve">the same </w:t>
      </w:r>
      <w:proofErr w:type="spellStart"/>
      <w:r w:rsidRPr="00CE2AE8">
        <w:rPr>
          <w:rFonts w:ascii="Times New Roman" w:hAnsi="Times New Roman" w:cs="Times New Roman"/>
          <w:i/>
          <w:iCs/>
          <w:color w:val="000000"/>
        </w:rPr>
        <w:t>septenary</w:t>
      </w:r>
      <w:proofErr w:type="spellEnd"/>
      <w:r w:rsidRPr="00CE2AE8">
        <w:rPr>
          <w:rFonts w:ascii="Times New Roman" w:hAnsi="Times New Roman" w:cs="Times New Roman"/>
          <w:i/>
          <w:iCs/>
          <w:color w:val="000000"/>
        </w:rPr>
        <w:t xml:space="preserve"> structure and end at the same place</w:t>
      </w:r>
      <w:r w:rsidRPr="00CE2AE8">
        <w:rPr>
          <w:rFonts w:ascii="Times New Roman" w:hAnsi="Times New Roman" w:cs="Times New Roman"/>
          <w:color w:val="000000"/>
        </w:rPr>
        <w:t xml:space="preserve"> — with man, on the seventh day, restored and realizing the purpose for his creation, six days earlier, 6,000 years earlier.</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color w:val="000000"/>
        </w:rPr>
        <w:t xml:space="preserve">Thus, each day in the restoration of the material creation in Genesis, followed by a day of rest, foreshadows </w:t>
      </w:r>
      <w:r w:rsidRPr="00CE2AE8">
        <w:rPr>
          <w:rFonts w:ascii="Times New Roman" w:hAnsi="Times New Roman" w:cs="Times New Roman"/>
          <w:i/>
          <w:iCs/>
          <w:color w:val="000000"/>
        </w:rPr>
        <w:t>1,000-year day</w:t>
      </w:r>
      <w:r w:rsidRPr="00CE2AE8">
        <w:rPr>
          <w:rFonts w:ascii="Times New Roman" w:hAnsi="Times New Roman" w:cs="Times New Roman"/>
          <w:color w:val="000000"/>
        </w:rPr>
        <w:t>s in the restoration of man (six days, 6,000 years, forming Man’s Day), followed by a 1,000-year day of rest (the Lord’s Day, the Messianic Era).</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color w:val="000000"/>
        </w:rPr>
        <w:t>The whole of Scripture, accordingly, is built on this framework — Man’s Day lasting for six days, 6,000 years, and the Lord’s Day lasting for one day, 1,000 years (</w:t>
      </w:r>
      <w:r w:rsidRPr="00CE2AE8">
        <w:rPr>
          <w:rFonts w:ascii="Times New Roman" w:hAnsi="Times New Roman" w:cs="Times New Roman"/>
          <w:i/>
          <w:iCs/>
          <w:color w:val="000000"/>
        </w:rPr>
        <w:t>cf</w:t>
      </w:r>
      <w:r w:rsidRPr="00CE2AE8">
        <w:rPr>
          <w:rFonts w:ascii="Times New Roman" w:hAnsi="Times New Roman" w:cs="Times New Roman"/>
          <w:color w:val="000000"/>
        </w:rPr>
        <w:t xml:space="preserve">. II Peter 3:3-8).  And, exactly as seen in the foundational type in Genesis, the two </w:t>
      </w:r>
      <w:r w:rsidRPr="00CE2AE8">
        <w:rPr>
          <w:rFonts w:ascii="Times New Roman" w:hAnsi="Times New Roman" w:cs="Times New Roman"/>
          <w:i/>
          <w:iCs/>
          <w:color w:val="000000"/>
        </w:rPr>
        <w:t xml:space="preserve">NEVER, NEVER, </w:t>
      </w:r>
      <w:r w:rsidRPr="00CE2AE8">
        <w:rPr>
          <w:rFonts w:ascii="Times New Roman" w:hAnsi="Times New Roman" w:cs="Times New Roman"/>
          <w:color w:val="000000"/>
        </w:rPr>
        <w:t xml:space="preserve">overlap one another in Scripture — </w:t>
      </w:r>
      <w:r w:rsidRPr="00CE2AE8">
        <w:rPr>
          <w:rFonts w:ascii="Times New Roman" w:hAnsi="Times New Roman" w:cs="Times New Roman"/>
          <w:i/>
          <w:iCs/>
          <w:color w:val="000000"/>
        </w:rPr>
        <w:t>i.e</w:t>
      </w:r>
      <w:r w:rsidRPr="00CE2AE8">
        <w:rPr>
          <w:rFonts w:ascii="Times New Roman" w:hAnsi="Times New Roman" w:cs="Times New Roman"/>
          <w:color w:val="000000"/>
        </w:rPr>
        <w:t xml:space="preserve">., Man’s Day </w:t>
      </w:r>
      <w:r w:rsidRPr="00CE2AE8">
        <w:rPr>
          <w:rFonts w:ascii="Times New Roman" w:hAnsi="Times New Roman" w:cs="Times New Roman"/>
          <w:i/>
          <w:iCs/>
          <w:color w:val="000000"/>
        </w:rPr>
        <w:t>NEVER</w:t>
      </w:r>
      <w:r w:rsidRPr="00CE2AE8">
        <w:rPr>
          <w:rFonts w:ascii="Times New Roman" w:hAnsi="Times New Roman" w:cs="Times New Roman"/>
          <w:color w:val="000000"/>
        </w:rPr>
        <w:t xml:space="preserve"> continues into any part of the Lord’s Day</w:t>
      </w:r>
      <w:proofErr w:type="gramStart"/>
      <w:r w:rsidRPr="00CE2AE8">
        <w:rPr>
          <w:rFonts w:ascii="Times New Roman" w:hAnsi="Times New Roman" w:cs="Times New Roman"/>
          <w:color w:val="000000"/>
        </w:rPr>
        <w:t xml:space="preserve">;  </w:t>
      </w:r>
      <w:r w:rsidRPr="00CE2AE8">
        <w:rPr>
          <w:rFonts w:ascii="Times New Roman" w:hAnsi="Times New Roman" w:cs="Times New Roman"/>
          <w:i/>
          <w:iCs/>
          <w:color w:val="000000"/>
        </w:rPr>
        <w:t>NOR</w:t>
      </w:r>
      <w:proofErr w:type="gramEnd"/>
      <w:r w:rsidRPr="00CE2AE8">
        <w:rPr>
          <w:rFonts w:ascii="Times New Roman" w:hAnsi="Times New Roman" w:cs="Times New Roman"/>
          <w:color w:val="000000"/>
        </w:rPr>
        <w:t xml:space="preserve"> is the Lord’s Day </w:t>
      </w:r>
      <w:r w:rsidRPr="00CE2AE8">
        <w:rPr>
          <w:rFonts w:ascii="Times New Roman" w:hAnsi="Times New Roman" w:cs="Times New Roman"/>
          <w:i/>
          <w:iCs/>
          <w:color w:val="000000"/>
        </w:rPr>
        <w:t>EVER</w:t>
      </w:r>
      <w:r w:rsidRPr="00CE2AE8">
        <w:rPr>
          <w:rFonts w:ascii="Times New Roman" w:hAnsi="Times New Roman" w:cs="Times New Roman"/>
          <w:color w:val="000000"/>
        </w:rPr>
        <w:t xml:space="preserve"> dealt with back in any part of Man’s Day.</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color w:val="000000"/>
        </w:rPr>
        <w:t xml:space="preserve">The six and seven days </w:t>
      </w:r>
      <w:r w:rsidRPr="00CE2AE8">
        <w:rPr>
          <w:rFonts w:ascii="Times New Roman" w:hAnsi="Times New Roman" w:cs="Times New Roman"/>
          <w:i/>
          <w:iCs/>
          <w:color w:val="000000"/>
        </w:rPr>
        <w:t>ARE NOT</w:t>
      </w:r>
      <w:r w:rsidRPr="00CE2AE8">
        <w:rPr>
          <w:rFonts w:ascii="Times New Roman" w:hAnsi="Times New Roman" w:cs="Times New Roman"/>
          <w:color w:val="000000"/>
        </w:rPr>
        <w:t xml:space="preserve"> dealt with that way in the opening verses of Genesis, the opening verses of John, or anyplace else in Scripture.  Events occurring on the sixth day have no part in events about to occur on the seventh day</w:t>
      </w:r>
      <w:proofErr w:type="gramStart"/>
      <w:r w:rsidRPr="00CE2AE8">
        <w:rPr>
          <w:rFonts w:ascii="Times New Roman" w:hAnsi="Times New Roman" w:cs="Times New Roman"/>
          <w:color w:val="000000"/>
        </w:rPr>
        <w:t>;  nor</w:t>
      </w:r>
      <w:proofErr w:type="gramEnd"/>
      <w:r w:rsidRPr="00CE2AE8">
        <w:rPr>
          <w:rFonts w:ascii="Times New Roman" w:hAnsi="Times New Roman" w:cs="Times New Roman"/>
          <w:color w:val="000000"/>
        </w:rPr>
        <w:t xml:space="preserve"> do events occurring on the seventh day have any part in events which previously occurred on the sixth day.</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i/>
          <w:iCs/>
          <w:color w:val="000000"/>
        </w:rPr>
        <w:t>ALL THINGS</w:t>
      </w:r>
      <w:r w:rsidRPr="00CE2AE8">
        <w:rPr>
          <w:rFonts w:ascii="Times New Roman" w:hAnsi="Times New Roman" w:cs="Times New Roman"/>
          <w:color w:val="000000"/>
        </w:rPr>
        <w:t xml:space="preserve"> foreshadowed by the foundational type </w:t>
      </w:r>
      <w:r w:rsidRPr="00CE2AE8">
        <w:rPr>
          <w:rFonts w:ascii="Times New Roman" w:hAnsi="Times New Roman" w:cs="Times New Roman"/>
          <w:i/>
          <w:iCs/>
          <w:color w:val="000000"/>
        </w:rPr>
        <w:t>MUST</w:t>
      </w:r>
      <w:r w:rsidRPr="00CE2AE8">
        <w:rPr>
          <w:rFonts w:ascii="Times New Roman" w:hAnsi="Times New Roman" w:cs="Times New Roman"/>
          <w:color w:val="000000"/>
        </w:rPr>
        <w:t xml:space="preserve"> be in complete keeping with </w:t>
      </w:r>
      <w:r w:rsidRPr="00CE2AE8">
        <w:rPr>
          <w:rFonts w:ascii="Times New Roman" w:hAnsi="Times New Roman" w:cs="Times New Roman"/>
          <w:i/>
          <w:iCs/>
          <w:color w:val="000000"/>
        </w:rPr>
        <w:t>ALL THINGS</w:t>
      </w:r>
      <w:r w:rsidRPr="00CE2AE8">
        <w:rPr>
          <w:rFonts w:ascii="Times New Roman" w:hAnsi="Times New Roman" w:cs="Times New Roman"/>
          <w:color w:val="000000"/>
        </w:rPr>
        <w:t xml:space="preserve"> previously established in the foundational type.</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color w:val="000000"/>
        </w:rPr>
        <w:t xml:space="preserve">In this respect, contrary to much popular thought among Bible teachers — teaching that the Lord’s Day (which, as will be shown, is the time referenced by “that day” in numerous texts) begins at a time during the last seven years of Man’s Day (Daniel’s Seventieth Week, the Tribulation), continuing from that point throughout the Tribulation and the ensuing Millennium — </w:t>
      </w:r>
      <w:r w:rsidRPr="00CE2AE8">
        <w:rPr>
          <w:rFonts w:ascii="Times New Roman" w:hAnsi="Times New Roman" w:cs="Times New Roman"/>
          <w:i/>
          <w:iCs/>
          <w:color w:val="000000"/>
        </w:rPr>
        <w:t>the Lord’s Day DOES NOT, IT CANNOT, begin until after Man’s Day has run its course.</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color w:val="000000"/>
        </w:rPr>
        <w:t xml:space="preserve">The Lord’s Day can begin </w:t>
      </w:r>
      <w:r w:rsidRPr="00CE2AE8">
        <w:rPr>
          <w:rFonts w:ascii="Times New Roman" w:hAnsi="Times New Roman" w:cs="Times New Roman"/>
          <w:i/>
          <w:iCs/>
          <w:color w:val="000000"/>
        </w:rPr>
        <w:t>ONLY AFTER</w:t>
      </w:r>
      <w:r w:rsidRPr="00CE2AE8">
        <w:rPr>
          <w:rFonts w:ascii="Times New Roman" w:hAnsi="Times New Roman" w:cs="Times New Roman"/>
          <w:color w:val="000000"/>
        </w:rPr>
        <w:t xml:space="preserve"> six days, </w:t>
      </w:r>
      <w:r w:rsidRPr="00CE2AE8">
        <w:rPr>
          <w:rFonts w:ascii="Times New Roman" w:hAnsi="Times New Roman" w:cs="Times New Roman"/>
          <w:i/>
          <w:iCs/>
          <w:color w:val="000000"/>
        </w:rPr>
        <w:t>ONLY AFTER</w:t>
      </w:r>
      <w:r w:rsidRPr="00CE2AE8">
        <w:rPr>
          <w:rFonts w:ascii="Times New Roman" w:hAnsi="Times New Roman" w:cs="Times New Roman"/>
          <w:color w:val="000000"/>
        </w:rPr>
        <w:t xml:space="preserve"> 6,000 years, </w:t>
      </w:r>
      <w:r w:rsidRPr="00CE2AE8">
        <w:rPr>
          <w:rFonts w:ascii="Times New Roman" w:hAnsi="Times New Roman" w:cs="Times New Roman"/>
          <w:i/>
          <w:iCs/>
          <w:color w:val="000000"/>
        </w:rPr>
        <w:t>ONLY AFTE</w:t>
      </w:r>
      <w:r w:rsidRPr="00CE2AE8">
        <w:rPr>
          <w:rFonts w:ascii="Times New Roman" w:hAnsi="Times New Roman" w:cs="Times New Roman"/>
          <w:color w:val="000000"/>
        </w:rPr>
        <w:t>R the Tribulation.  This is the way matters are set forth anyplace in Scripture where the subject is dealt with.</w:t>
      </w:r>
    </w:p>
    <w:p w:rsidR="00CA308E" w:rsidRPr="00CE2AE8" w:rsidRDefault="00CA308E" w:rsidP="00CA308E">
      <w:pPr>
        <w:widowControl w:val="0"/>
        <w:autoSpaceDE w:val="0"/>
        <w:autoSpaceDN w:val="0"/>
        <w:adjustRightInd w:val="0"/>
        <w:spacing w:before="320" w:line="288" w:lineRule="auto"/>
        <w:jc w:val="center"/>
        <w:textAlignment w:val="center"/>
        <w:rPr>
          <w:rFonts w:ascii="Times New Roman" w:hAnsi="Times New Roman" w:cs="Times New Roman"/>
          <w:color w:val="000000"/>
        </w:rPr>
      </w:pPr>
      <w:r w:rsidRPr="00CE2AE8">
        <w:rPr>
          <w:rFonts w:ascii="Times New Roman" w:hAnsi="Times New Roman" w:cs="Times New Roman"/>
          <w:b/>
          <w:bCs/>
          <w:color w:val="000000"/>
        </w:rPr>
        <w:t>The Prophets — “In That Day”</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color w:val="000000"/>
        </w:rPr>
        <w:t xml:space="preserve">A great deal of error in Biblical studies can be avoided if one knows and understands the simple basics set forth in the first part of this study.   And this would be even more so </w:t>
      </w:r>
      <w:r w:rsidRPr="00CE2AE8">
        <w:rPr>
          <w:rFonts w:ascii="Times New Roman" w:hAnsi="Times New Roman" w:cs="Times New Roman"/>
          <w:color w:val="000000"/>
        </w:rPr>
        <w:lastRenderedPageBreak/>
        <w:t xml:space="preserve">the case when studying how different Prophets use the expression, “in that day.”  In the Prophets, this expression, when used relative to a future end-time having to do with Israel and the nations, </w:t>
      </w:r>
      <w:r w:rsidRPr="00CE2AE8">
        <w:rPr>
          <w:rFonts w:ascii="Times New Roman" w:hAnsi="Times New Roman" w:cs="Times New Roman"/>
          <w:i/>
          <w:iCs/>
          <w:color w:val="000000"/>
        </w:rPr>
        <w:t>INVARIABLY</w:t>
      </w:r>
      <w:r w:rsidRPr="00CE2AE8">
        <w:rPr>
          <w:rFonts w:ascii="Times New Roman" w:hAnsi="Times New Roman" w:cs="Times New Roman"/>
          <w:color w:val="000000"/>
        </w:rPr>
        <w:t xml:space="preserve"> refers to events occurring in the future Lord’s Day.  “That day,” used in this respect, can </w:t>
      </w:r>
      <w:r w:rsidRPr="00CE2AE8">
        <w:rPr>
          <w:rFonts w:ascii="Times New Roman" w:hAnsi="Times New Roman" w:cs="Times New Roman"/>
          <w:i/>
          <w:iCs/>
          <w:color w:val="000000"/>
        </w:rPr>
        <w:t>NEVER</w:t>
      </w:r>
      <w:r w:rsidRPr="00CE2AE8">
        <w:rPr>
          <w:rFonts w:ascii="Times New Roman" w:hAnsi="Times New Roman" w:cs="Times New Roman"/>
          <w:color w:val="000000"/>
        </w:rPr>
        <w:t xml:space="preserve"> have anything to do with events occurring during Man’s Day (</w:t>
      </w:r>
      <w:r w:rsidRPr="00CE2AE8">
        <w:rPr>
          <w:rFonts w:ascii="Times New Roman" w:hAnsi="Times New Roman" w:cs="Times New Roman"/>
          <w:i/>
          <w:iCs/>
          <w:color w:val="000000"/>
        </w:rPr>
        <w:t>e.g.</w:t>
      </w:r>
      <w:r w:rsidRPr="00CE2AE8">
        <w:rPr>
          <w:rFonts w:ascii="Times New Roman" w:hAnsi="Times New Roman" w:cs="Times New Roman"/>
          <w:color w:val="000000"/>
        </w:rPr>
        <w:t>, with events occurring either today or during the Tribulation, the last seven years of Man’s Day).</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color w:val="000000"/>
        </w:rPr>
        <w:t>Note a scattering of references pertaining to “that day”:</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color w:val="000000"/>
        </w:rPr>
        <w:t>One would normally begin with Isaiah in this respect, but before going to Isaiah and working forward through a number of the Prophets, note a few things out of the small three-chapter Book of Zephaniah.</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color w:val="000000"/>
        </w:rPr>
        <w:t>In this small book, there are twenty-two references to this future time.  As well, in this book, “in that day” is consistently used as a reference to “the day of the Lord” (</w:t>
      </w:r>
      <w:r w:rsidRPr="00CE2AE8">
        <w:rPr>
          <w:rFonts w:ascii="Times New Roman" w:hAnsi="Times New Roman" w:cs="Times New Roman"/>
          <w:i/>
          <w:iCs/>
          <w:color w:val="000000"/>
        </w:rPr>
        <w:t>cf</w:t>
      </w:r>
      <w:r w:rsidRPr="00CE2AE8">
        <w:rPr>
          <w:rFonts w:ascii="Times New Roman" w:hAnsi="Times New Roman" w:cs="Times New Roman"/>
          <w:color w:val="000000"/>
        </w:rPr>
        <w:t>. Zeph. 1:9-14; 2:2, 3; 3:11, 16-20).</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color w:val="000000"/>
        </w:rPr>
        <w:t>With this connection between “that day” and “the Lord’s Day,” note a number of corresponding references in Isaiah.</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color w:val="000000"/>
        </w:rPr>
        <w:t>Isaiah 2:1-4 references the millennial Kingdom, beyond Man’s Day, in the Lord’s Day.  And three subsequent verses in this chapter (vv. 11, 17, 20) use the expression, “in that day,” referring back to the time depicted in these opening four verses.</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color w:val="000000"/>
        </w:rPr>
        <w:t>Then note the subsequent usage of this same expression a number of places throughout Isaiah, all, contextually, referring to conditions immediately preceding or during the millennial kingdom, in the Lord’s Day, exactly as in chapter two (Isa. 4:1, 2; 11:10, 11; 12:1, 4; 19:16, 18, 19, 21, 23, 24; 24:21; 25:9; 27:1, 2, 12, 13; 28:5; 29:18; 31:7; 52:6).</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color w:val="000000"/>
        </w:rPr>
        <w:t>Then note the same thing seen in a number of the other Prophets (Jer. 30:8; Ezek. 38:14, 18; 39:8, 11; Hosea 2:16, 18, 21; Joel 3:18; Amos 9:11; Zech. 2:11; 3:10).</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color w:val="000000"/>
        </w:rPr>
        <w:t>“That day” in the preceding passages, references a time beyond Man’s Day, in “the Lord’s Day,</w:t>
      </w:r>
      <w:proofErr w:type="gramStart"/>
      <w:r w:rsidRPr="00CE2AE8">
        <w:rPr>
          <w:rFonts w:ascii="Times New Roman" w:hAnsi="Times New Roman" w:cs="Times New Roman"/>
          <w:color w:val="000000"/>
        </w:rPr>
        <w:t>”  during</w:t>
      </w:r>
      <w:proofErr w:type="gramEnd"/>
      <w:r w:rsidRPr="00CE2AE8">
        <w:rPr>
          <w:rFonts w:ascii="Times New Roman" w:hAnsi="Times New Roman" w:cs="Times New Roman"/>
          <w:color w:val="000000"/>
        </w:rPr>
        <w:t xml:space="preserve"> which concluding events and judgments surrounding Israel and the nations will occur.  And these events and judgments will occur following Christ’s return and lead into His millennial reign.  This is the reason why the expression, “in that day,” in some Scriptures refers to a time of judgment and in other Scriptures to a time of peace and rest.</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color w:val="000000"/>
        </w:rPr>
        <w:t>The latter follows the former, but the former, of necessity, must occur first.</w:t>
      </w:r>
    </w:p>
    <w:p w:rsidR="00CA308E" w:rsidRPr="00CE2AE8" w:rsidRDefault="00CA308E" w:rsidP="00CA308E">
      <w:pPr>
        <w:widowControl w:val="0"/>
        <w:autoSpaceDE w:val="0"/>
        <w:autoSpaceDN w:val="0"/>
        <w:adjustRightInd w:val="0"/>
        <w:spacing w:before="320" w:line="288" w:lineRule="auto"/>
        <w:jc w:val="center"/>
        <w:textAlignment w:val="center"/>
        <w:rPr>
          <w:rFonts w:ascii="Times New Roman" w:hAnsi="Times New Roman" w:cs="Times New Roman"/>
          <w:color w:val="000000"/>
        </w:rPr>
      </w:pPr>
      <w:r w:rsidRPr="00CE2AE8">
        <w:rPr>
          <w:rFonts w:ascii="Times New Roman" w:hAnsi="Times New Roman" w:cs="Times New Roman"/>
          <w:b/>
          <w:bCs/>
          <w:color w:val="000000"/>
        </w:rPr>
        <w:t>Christians — “In That Day”</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color w:val="000000"/>
        </w:rPr>
        <w:t xml:space="preserve">Numerous Bible teachers today, it seems, are quick to look at current events and attempt to relate them to Biblical prophecy, </w:t>
      </w:r>
      <w:r w:rsidRPr="00CE2AE8">
        <w:rPr>
          <w:rFonts w:ascii="Times New Roman" w:hAnsi="Times New Roman" w:cs="Times New Roman"/>
          <w:i/>
          <w:iCs/>
          <w:color w:val="000000"/>
        </w:rPr>
        <w:t>particularly events pertaining to Israel and the nations emanating out of Israeli statehood almost seventy years ago, May 14, 1948.</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color w:val="000000"/>
        </w:rPr>
        <w:t xml:space="preserve">They view events pertaining to Israel, the nation’s land, and the surrounding Gentile </w:t>
      </w:r>
      <w:r w:rsidRPr="00CE2AE8">
        <w:rPr>
          <w:rFonts w:ascii="Times New Roman" w:hAnsi="Times New Roman" w:cs="Times New Roman"/>
          <w:color w:val="000000"/>
        </w:rPr>
        <w:lastRenderedPageBreak/>
        <w:t xml:space="preserve">nations during these past seventy years and attempt to align certain events with different Old Testament prophecies having to do with God </w:t>
      </w:r>
      <w:proofErr w:type="spellStart"/>
      <w:r w:rsidRPr="00CE2AE8">
        <w:rPr>
          <w:rFonts w:ascii="Times New Roman" w:hAnsi="Times New Roman" w:cs="Times New Roman"/>
          <w:color w:val="000000"/>
        </w:rPr>
        <w:t>regathering</w:t>
      </w:r>
      <w:proofErr w:type="spellEnd"/>
      <w:r w:rsidRPr="00CE2AE8">
        <w:rPr>
          <w:rFonts w:ascii="Times New Roman" w:hAnsi="Times New Roman" w:cs="Times New Roman"/>
          <w:color w:val="000000"/>
        </w:rPr>
        <w:t xml:space="preserve"> His people back to their land.  And the closing five verses of Amos are often referenced in this respect.</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color w:val="000000"/>
        </w:rPr>
        <w:t xml:space="preserve">These verses from Amos tell of a time (“in that day” [v. 11]) when </w:t>
      </w:r>
      <w:r w:rsidRPr="00CE2AE8">
        <w:rPr>
          <w:rFonts w:ascii="Times New Roman" w:hAnsi="Times New Roman" w:cs="Times New Roman"/>
          <w:i/>
          <w:iCs/>
          <w:color w:val="000000"/>
        </w:rPr>
        <w:t xml:space="preserve">God will </w:t>
      </w:r>
      <w:proofErr w:type="spellStart"/>
      <w:r w:rsidRPr="00CE2AE8">
        <w:rPr>
          <w:rFonts w:ascii="Times New Roman" w:hAnsi="Times New Roman" w:cs="Times New Roman"/>
          <w:i/>
          <w:iCs/>
          <w:color w:val="000000"/>
        </w:rPr>
        <w:t>regather</w:t>
      </w:r>
      <w:proofErr w:type="spellEnd"/>
      <w:r w:rsidRPr="00CE2AE8">
        <w:rPr>
          <w:rFonts w:ascii="Times New Roman" w:hAnsi="Times New Roman" w:cs="Times New Roman"/>
          <w:i/>
          <w:iCs/>
          <w:color w:val="000000"/>
        </w:rPr>
        <w:t xml:space="preserve"> His people back to their land, NEVER to be uprooted again.</w:t>
      </w:r>
      <w:r w:rsidRPr="00CE2AE8">
        <w:rPr>
          <w:rFonts w:ascii="Times New Roman" w:hAnsi="Times New Roman" w:cs="Times New Roman"/>
          <w:color w:val="000000"/>
        </w:rPr>
        <w:t xml:space="preserve">  But to relate these verses, or really any other verses dealing with Israel’s restoration, to what has been occurring in the Middle East since the spring of 1948 is</w:t>
      </w:r>
      <w:r w:rsidRPr="00CE2AE8">
        <w:rPr>
          <w:rFonts w:ascii="Times New Roman" w:hAnsi="Times New Roman" w:cs="Times New Roman"/>
          <w:i/>
          <w:iCs/>
          <w:color w:val="000000"/>
        </w:rPr>
        <w:t xml:space="preserve"> completely out of line with any Scripture dealing with the subject.</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i/>
          <w:iCs/>
          <w:color w:val="000000"/>
        </w:rPr>
      </w:pPr>
      <w:r w:rsidRPr="00CE2AE8">
        <w:rPr>
          <w:rFonts w:ascii="Times New Roman" w:hAnsi="Times New Roman" w:cs="Times New Roman"/>
          <w:color w:val="000000"/>
        </w:rPr>
        <w:t xml:space="preserve">The Jews in the land today (some 6,000,000, about two-fifths of world Jewry) </w:t>
      </w:r>
      <w:r w:rsidRPr="00CE2AE8">
        <w:rPr>
          <w:rFonts w:ascii="Times New Roman" w:hAnsi="Times New Roman" w:cs="Times New Roman"/>
          <w:i/>
          <w:iCs/>
          <w:color w:val="000000"/>
        </w:rPr>
        <w:t xml:space="preserve">have sought to emancipate themselves apart from their Messiah, leaving an unhealed people in an unhealed land (a house left “desolate” [cf. Dan. 9:27; Matt. 12:43-45; 23:37-39]), in unbelief, before repentance. </w:t>
      </w:r>
      <w:r w:rsidRPr="00CE2AE8">
        <w:rPr>
          <w:rFonts w:ascii="Times New Roman" w:hAnsi="Times New Roman" w:cs="Times New Roman"/>
          <w:color w:val="000000"/>
        </w:rPr>
        <w:t xml:space="preserve">And, according to the clear teaching of Scripture, </w:t>
      </w:r>
      <w:r w:rsidRPr="00CE2AE8">
        <w:rPr>
          <w:rFonts w:ascii="Times New Roman" w:hAnsi="Times New Roman" w:cs="Times New Roman"/>
          <w:i/>
          <w:iCs/>
          <w:color w:val="000000"/>
        </w:rPr>
        <w:t>these Jews will be uprooted from their land in the middle of the Tribulation, their cities destroyed, and they will either be slain or driven back out among the nations where God will then deal with them, along with the remainder of world Jewry, relative to repentance</w:t>
      </w:r>
      <w:r w:rsidRPr="00CE2AE8">
        <w:rPr>
          <w:rFonts w:ascii="Times New Roman" w:hAnsi="Times New Roman" w:cs="Times New Roman"/>
          <w:color w:val="000000"/>
        </w:rPr>
        <w:t xml:space="preserve"> (</w:t>
      </w:r>
      <w:r w:rsidRPr="00CE2AE8">
        <w:rPr>
          <w:rFonts w:ascii="Times New Roman" w:hAnsi="Times New Roman" w:cs="Times New Roman"/>
          <w:i/>
          <w:iCs/>
          <w:color w:val="000000"/>
        </w:rPr>
        <w:t>cf</w:t>
      </w:r>
      <w:r w:rsidRPr="00CE2AE8">
        <w:rPr>
          <w:rFonts w:ascii="Times New Roman" w:hAnsi="Times New Roman" w:cs="Times New Roman"/>
          <w:color w:val="000000"/>
        </w:rPr>
        <w:t>. Lev. 26:31-33; Isa. 6:11-13; Dan. 9:26; Matt. 24:15ff; Luke 21:20ff; Rev. 12:6, 14).</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color w:val="000000"/>
        </w:rPr>
        <w:t xml:space="preserve">Beyond that, all of this has happened and will happen </w:t>
      </w:r>
      <w:r w:rsidRPr="00CE2AE8">
        <w:rPr>
          <w:rFonts w:ascii="Times New Roman" w:hAnsi="Times New Roman" w:cs="Times New Roman"/>
          <w:i/>
          <w:iCs/>
          <w:color w:val="000000"/>
        </w:rPr>
        <w:t>BEFORE</w:t>
      </w:r>
      <w:r w:rsidRPr="00CE2AE8">
        <w:rPr>
          <w:rFonts w:ascii="Times New Roman" w:hAnsi="Times New Roman" w:cs="Times New Roman"/>
          <w:color w:val="000000"/>
        </w:rPr>
        <w:t xml:space="preserve"> “that day,” seen in Amos 9:11-15 or any other place in Scripture where the subject is dealt with.</w:t>
      </w:r>
    </w:p>
    <w:p w:rsidR="00CA308E" w:rsidRPr="00CE2AE8" w:rsidRDefault="00CA308E" w:rsidP="00CA308E">
      <w:pPr>
        <w:widowControl w:val="0"/>
        <w:autoSpaceDE w:val="0"/>
        <w:autoSpaceDN w:val="0"/>
        <w:adjustRightInd w:val="0"/>
        <w:spacing w:after="0" w:line="288" w:lineRule="auto"/>
        <w:ind w:firstLine="360"/>
        <w:jc w:val="both"/>
        <w:textAlignment w:val="center"/>
        <w:rPr>
          <w:rFonts w:ascii="Times New Roman" w:hAnsi="Times New Roman" w:cs="Times New Roman"/>
          <w:color w:val="000000"/>
        </w:rPr>
      </w:pPr>
      <w:r w:rsidRPr="00CE2AE8">
        <w:rPr>
          <w:rFonts w:ascii="Times New Roman" w:hAnsi="Times New Roman" w:cs="Times New Roman"/>
          <w:color w:val="000000"/>
        </w:rPr>
        <w:t xml:space="preserve">In God’s </w:t>
      </w:r>
      <w:proofErr w:type="spellStart"/>
      <w:r w:rsidRPr="00CE2AE8">
        <w:rPr>
          <w:rFonts w:ascii="Times New Roman" w:hAnsi="Times New Roman" w:cs="Times New Roman"/>
          <w:color w:val="000000"/>
        </w:rPr>
        <w:t>septenary</w:t>
      </w:r>
      <w:proofErr w:type="spellEnd"/>
      <w:r w:rsidRPr="00CE2AE8">
        <w:rPr>
          <w:rFonts w:ascii="Times New Roman" w:hAnsi="Times New Roman" w:cs="Times New Roman"/>
          <w:color w:val="000000"/>
        </w:rPr>
        <w:t xml:space="preserve"> arrangement of His Word, established perfect in the beginning, </w:t>
      </w:r>
      <w:r w:rsidRPr="00CE2AE8">
        <w:rPr>
          <w:rFonts w:ascii="Times New Roman" w:hAnsi="Times New Roman" w:cs="Times New Roman"/>
          <w:i/>
          <w:iCs/>
          <w:color w:val="000000"/>
        </w:rPr>
        <w:t>a person simply CANNOT place events of one day in those of another day</w:t>
      </w:r>
      <w:r w:rsidRPr="00CE2AE8">
        <w:rPr>
          <w:rFonts w:ascii="Times New Roman" w:hAnsi="Times New Roman" w:cs="Times New Roman"/>
          <w:color w:val="000000"/>
        </w:rPr>
        <w:t>.</w:t>
      </w:r>
    </w:p>
    <w:p w:rsidR="00E507B5" w:rsidRPr="00CE2AE8" w:rsidRDefault="009D1B1E" w:rsidP="00DF60D9">
      <w:pPr>
        <w:rPr>
          <w:rFonts w:ascii="Times New Roman" w:hAnsi="Times New Roman" w:cs="Times New Roman"/>
        </w:rPr>
      </w:pPr>
    </w:p>
    <w:sectPr w:rsidR="00E507B5" w:rsidRPr="00CE2AE8" w:rsidSect="00E507B5">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Palatino-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DF60D9"/>
    <w:rsid w:val="00053F95"/>
    <w:rsid w:val="001B3DA3"/>
    <w:rsid w:val="003B4B04"/>
    <w:rsid w:val="00882378"/>
    <w:rsid w:val="009D1B1E"/>
    <w:rsid w:val="00B73ECD"/>
    <w:rsid w:val="00CA308E"/>
    <w:rsid w:val="00CE2AE8"/>
    <w:rsid w:val="00DF60D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D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DF60D9"/>
    <w:pPr>
      <w:widowControl w:val="0"/>
      <w:autoSpaceDE w:val="0"/>
      <w:autoSpaceDN w:val="0"/>
      <w:adjustRightInd w:val="0"/>
      <w:spacing w:after="0" w:line="288" w:lineRule="auto"/>
      <w:ind w:firstLine="480"/>
      <w:textAlignment w:val="center"/>
    </w:pPr>
    <w:rPr>
      <w:rFonts w:ascii="Times-Roman" w:hAnsi="Times-Roman" w:cs="Times-Roman"/>
      <w:color w:val="000000"/>
    </w:rPr>
  </w:style>
  <w:style w:type="paragraph" w:customStyle="1" w:styleId="NoParagraphStyle">
    <w:name w:val="[No Paragraph Style]"/>
    <w:rsid w:val="00053F95"/>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Contented">
    <w:name w:val="Contented"/>
    <w:basedOn w:val="NoParagraphStyle"/>
    <w:uiPriority w:val="99"/>
    <w:rsid w:val="00053F95"/>
    <w:pPr>
      <w:tabs>
        <w:tab w:val="right" w:pos="1152"/>
        <w:tab w:val="left" w:pos="1440"/>
        <w:tab w:val="right" w:pos="6165"/>
      </w:tabs>
      <w:spacing w:line="480" w:lineRule="atLeast"/>
    </w:pPr>
    <w:rPr>
      <w:rFonts w:ascii="Palatino-Roman" w:hAnsi="Palatino-Roman" w:cs="Palatino-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1781</Words>
  <Characters>10152</Characters>
  <Application>Microsoft Office Word</Application>
  <DocSecurity>0</DocSecurity>
  <Lines>84</Lines>
  <Paragraphs>23</Paragraphs>
  <ScaleCrop>false</ScaleCrop>
  <Company/>
  <LinksUpToDate>false</LinksUpToDate>
  <CharactersWithSpaces>11910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Leroy</dc:creator>
  <cp:keywords/>
  <cp:lastModifiedBy>Dale Stone</cp:lastModifiedBy>
  <cp:revision>5</cp:revision>
  <dcterms:created xsi:type="dcterms:W3CDTF">2017-08-26T15:17:00Z</dcterms:created>
  <dcterms:modified xsi:type="dcterms:W3CDTF">2017-08-30T21:52:00Z</dcterms:modified>
</cp:coreProperties>
</file>